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7E286" w14:textId="77777777" w:rsidR="003C2C84" w:rsidRPr="00BA19CF" w:rsidRDefault="003C2C84" w:rsidP="007D399B">
      <w:pPr>
        <w:jc w:val="center"/>
        <w:rPr>
          <w:rFonts w:ascii="Helvetica" w:eastAsia="Cambria" w:hAnsi="Helvetica"/>
          <w:b/>
          <w:bCs/>
          <w:color w:val="008000"/>
          <w:szCs w:val="28"/>
          <w:lang w:val="en-GB"/>
        </w:rPr>
      </w:pPr>
    </w:p>
    <w:p w14:paraId="3529F4F7" w14:textId="77777777" w:rsidR="00576C71" w:rsidRPr="007D399B" w:rsidRDefault="00576C71" w:rsidP="007D399B">
      <w:pPr>
        <w:spacing w:after="240"/>
        <w:jc w:val="center"/>
        <w:rPr>
          <w:rFonts w:ascii="Helvetica" w:eastAsia="Cambria" w:hAnsi="Helvetica"/>
          <w:b/>
          <w:bCs/>
          <w:color w:val="225D6B"/>
          <w:sz w:val="28"/>
          <w:szCs w:val="28"/>
          <w:lang w:val="en-GB"/>
        </w:rPr>
      </w:pPr>
      <w:r w:rsidRPr="007D399B">
        <w:rPr>
          <w:rFonts w:ascii="Helvetica" w:eastAsia="Cambria" w:hAnsi="Helvetica"/>
          <w:b/>
          <w:bCs/>
          <w:color w:val="225D6B"/>
          <w:sz w:val="28"/>
          <w:szCs w:val="28"/>
          <w:lang w:val="en-GB"/>
        </w:rPr>
        <w:t>Criteria of the ‘Good Practice of the Year’ competition</w:t>
      </w:r>
    </w:p>
    <w:p w14:paraId="25A769BF" w14:textId="77777777" w:rsidR="003C2C84" w:rsidRPr="009B720C" w:rsidRDefault="00576C71" w:rsidP="003C2C84">
      <w:pPr>
        <w:rPr>
          <w:rFonts w:ascii="Helvetica" w:eastAsia="Cambria" w:hAnsi="Helvetica"/>
          <w:bCs/>
          <w:color w:val="225D6B"/>
          <w:sz w:val="26"/>
          <w:szCs w:val="26"/>
          <w:u w:val="single"/>
          <w:lang w:val="en-GB"/>
        </w:rPr>
      </w:pPr>
      <w:r w:rsidRPr="009B720C">
        <w:rPr>
          <w:rFonts w:ascii="Helvetica" w:eastAsia="Cambria" w:hAnsi="Helvetica"/>
          <w:bCs/>
          <w:color w:val="225D6B"/>
          <w:sz w:val="26"/>
          <w:szCs w:val="26"/>
          <w:u w:val="single"/>
          <w:lang w:val="en-GB"/>
        </w:rPr>
        <w:t>E</w:t>
      </w:r>
      <w:r w:rsidR="003C2C84" w:rsidRPr="009B720C">
        <w:rPr>
          <w:rFonts w:ascii="Helvetica" w:eastAsia="Cambria" w:hAnsi="Helvetica"/>
          <w:bCs/>
          <w:color w:val="225D6B"/>
          <w:sz w:val="26"/>
          <w:szCs w:val="26"/>
          <w:u w:val="single"/>
          <w:lang w:val="en-GB"/>
        </w:rPr>
        <w:t>ligibility criteria</w:t>
      </w:r>
    </w:p>
    <w:p w14:paraId="229078D7" w14:textId="77777777" w:rsidR="003C2C84" w:rsidRPr="0056790E" w:rsidRDefault="00576C71" w:rsidP="007D399B">
      <w:pPr>
        <w:pStyle w:val="ListParagraph"/>
        <w:numPr>
          <w:ilvl w:val="0"/>
          <w:numId w:val="5"/>
        </w:numPr>
        <w:spacing w:before="240" w:after="120"/>
        <w:ind w:left="714" w:hanging="357"/>
        <w:contextualSpacing w:val="0"/>
        <w:rPr>
          <w:rFonts w:ascii="Helvetica" w:eastAsia="Cambria" w:hAnsi="Helvetica"/>
          <w:bCs/>
          <w:color w:val="225D6B"/>
          <w:sz w:val="22"/>
          <w:szCs w:val="28"/>
          <w:lang w:val="en-GB"/>
        </w:rPr>
      </w:pPr>
      <w:r w:rsidRPr="0056790E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The practices</w:t>
      </w:r>
      <w:r w:rsidR="003C2C84" w:rsidRPr="0056790E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chosen as a ‘Good Practice of the Year’ should be connected to the system int</w:t>
      </w:r>
      <w:r w:rsidRPr="0056790E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egration of renewables. If a practice is clearly not, it will not be considered a good practice in this competition.</w:t>
      </w:r>
    </w:p>
    <w:p w14:paraId="1B788947" w14:textId="77777777" w:rsidR="0065416F" w:rsidRPr="0056790E" w:rsidRDefault="003131AC" w:rsidP="0056790E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Helvetica" w:eastAsia="Cambria" w:hAnsi="Helvetica"/>
          <w:bCs/>
          <w:color w:val="225D6B"/>
          <w:sz w:val="22"/>
          <w:szCs w:val="28"/>
          <w:lang w:val="en-GB"/>
        </w:rPr>
      </w:pP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The practice should have reached a certain state of</w:t>
      </w:r>
      <w:r w:rsidR="0065416F" w:rsidRPr="0056790E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completion</w:t>
      </w: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. This means at least interim results should already be available</w:t>
      </w:r>
      <w:r w:rsidR="00A433DB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and ready to be shared with the jury</w:t>
      </w: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. </w:t>
      </w:r>
    </w:p>
    <w:p w14:paraId="7A3732F8" w14:textId="5A8149F3" w:rsidR="0065416F" w:rsidRDefault="00A433DB" w:rsidP="007D399B">
      <w:pPr>
        <w:pStyle w:val="ListParagraph"/>
        <w:numPr>
          <w:ilvl w:val="0"/>
          <w:numId w:val="5"/>
        </w:numPr>
        <w:spacing w:before="240" w:after="240"/>
        <w:ind w:left="714" w:hanging="357"/>
        <w:rPr>
          <w:rFonts w:ascii="Helvetica" w:eastAsia="Cambria" w:hAnsi="Helvetica"/>
          <w:bCs/>
          <w:color w:val="225D6B"/>
          <w:sz w:val="22"/>
          <w:szCs w:val="28"/>
          <w:lang w:val="en-GB"/>
        </w:rPr>
      </w:pP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T</w:t>
      </w:r>
      <w:r w:rsidR="006A24EB" w:rsidRPr="0056790E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he practice</w:t>
      </w: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should</w:t>
      </w:r>
      <w:r w:rsidR="006A24EB" w:rsidRPr="0056790E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make a significant contribution to advancing one or</w:t>
      </w: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several areas of good practice. For guidance on what these areas can be, please refer to the corresponding </w:t>
      </w:r>
      <w:hyperlink r:id="rId7" w:history="1">
        <w:r w:rsidRPr="00B06EAC">
          <w:rPr>
            <w:rStyle w:val="Hyperlink"/>
            <w:rFonts w:ascii="Helvetica" w:eastAsia="Cambria" w:hAnsi="Helvetica"/>
            <w:bCs/>
            <w:sz w:val="22"/>
            <w:szCs w:val="28"/>
            <w:lang w:val="en-GB"/>
          </w:rPr>
          <w:t>document on our website</w:t>
        </w:r>
      </w:hyperlink>
      <w:bookmarkStart w:id="0" w:name="_GoBack"/>
      <w:bookmarkEnd w:id="0"/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.</w:t>
      </w:r>
    </w:p>
    <w:p w14:paraId="32AB4D8E" w14:textId="77777777" w:rsidR="003C2C84" w:rsidRPr="009B720C" w:rsidRDefault="00576C71" w:rsidP="003C2C84">
      <w:pPr>
        <w:rPr>
          <w:rFonts w:ascii="Helvetica" w:eastAsia="MS Gothic" w:hAnsi="Helvetica"/>
          <w:bCs/>
          <w:sz w:val="26"/>
          <w:szCs w:val="26"/>
          <w:u w:val="single"/>
          <w:lang w:val="en-GB"/>
        </w:rPr>
      </w:pPr>
      <w:r w:rsidRPr="009B720C">
        <w:rPr>
          <w:rFonts w:ascii="Helvetica" w:eastAsia="Cambria" w:hAnsi="Helvetica"/>
          <w:bCs/>
          <w:color w:val="225D6B"/>
          <w:sz w:val="26"/>
          <w:szCs w:val="26"/>
          <w:u w:val="single"/>
          <w:lang w:val="en-GB"/>
        </w:rPr>
        <w:t>Evaluation criteria</w:t>
      </w:r>
    </w:p>
    <w:p w14:paraId="70CB04FE" w14:textId="77777777" w:rsidR="003C2C84" w:rsidRPr="009B720C" w:rsidRDefault="003C2C84" w:rsidP="007D399B">
      <w:pPr>
        <w:pStyle w:val="ListParagraph"/>
        <w:numPr>
          <w:ilvl w:val="0"/>
          <w:numId w:val="4"/>
        </w:numPr>
        <w:spacing w:before="240" w:after="40"/>
        <w:ind w:left="714" w:hanging="357"/>
        <w:rPr>
          <w:rFonts w:ascii="Helvetica" w:eastAsia="Cambria" w:hAnsi="Helvetica"/>
          <w:bCs/>
          <w:color w:val="FF950E"/>
          <w:sz w:val="26"/>
          <w:szCs w:val="26"/>
          <w:lang w:val="en-GB"/>
        </w:rPr>
      </w:pPr>
      <w:r w:rsidRPr="009B720C">
        <w:rPr>
          <w:rFonts w:ascii="Helvetica" w:eastAsia="Cambria" w:hAnsi="Helvetica"/>
          <w:bCs/>
          <w:color w:val="FF950E"/>
          <w:sz w:val="26"/>
          <w:szCs w:val="26"/>
          <w:lang w:val="en-GB"/>
        </w:rPr>
        <w:t>Innovation</w:t>
      </w:r>
    </w:p>
    <w:p w14:paraId="378B7E42" w14:textId="77777777" w:rsidR="002A2AB0" w:rsidRPr="00BA19CF" w:rsidRDefault="00026BD8" w:rsidP="003C2C84">
      <w:pPr>
        <w:rPr>
          <w:rFonts w:ascii="Helvetica" w:eastAsia="Cambria" w:hAnsi="Helvetica"/>
          <w:bCs/>
          <w:color w:val="225D6B"/>
          <w:sz w:val="22"/>
          <w:szCs w:val="28"/>
          <w:lang w:val="en-GB"/>
        </w:rPr>
      </w:pP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The jury will look for creative and innovative approaches that are either fully new or convincingly advance existing approaches by adding new dimensions to them. This also includes practices that </w:t>
      </w:r>
      <w:r w:rsidR="00374270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have evolved over a longer time and/or are based on </w:t>
      </w:r>
      <w:r w:rsidR="00DE200C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knowledge</w:t>
      </w:r>
      <w:r w:rsidR="00374270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from prevailing practices.</w:t>
      </w:r>
    </w:p>
    <w:p w14:paraId="7D7778B9" w14:textId="77777777" w:rsidR="00576C71" w:rsidRPr="009B720C" w:rsidRDefault="00E241FD" w:rsidP="007D399B">
      <w:pPr>
        <w:pStyle w:val="ListParagraph"/>
        <w:numPr>
          <w:ilvl w:val="0"/>
          <w:numId w:val="4"/>
        </w:numPr>
        <w:spacing w:before="120" w:after="40"/>
        <w:ind w:left="714" w:hanging="357"/>
        <w:rPr>
          <w:rFonts w:ascii="Helvetica" w:eastAsia="Cambria" w:hAnsi="Helvetica"/>
          <w:bCs/>
          <w:color w:val="FF950E"/>
          <w:sz w:val="26"/>
          <w:szCs w:val="26"/>
          <w:lang w:val="en-GB"/>
        </w:rPr>
      </w:pPr>
      <w:r w:rsidRPr="009B720C">
        <w:rPr>
          <w:rFonts w:ascii="Helvetica" w:eastAsia="Cambria" w:hAnsi="Helvetica"/>
          <w:bCs/>
          <w:color w:val="FF950E"/>
          <w:sz w:val="26"/>
          <w:szCs w:val="26"/>
          <w:lang w:val="en-GB"/>
        </w:rPr>
        <w:t xml:space="preserve">Outcomes &amp; </w:t>
      </w:r>
      <w:r w:rsidR="00280209" w:rsidRPr="009B720C">
        <w:rPr>
          <w:rFonts w:ascii="Helvetica" w:eastAsia="Cambria" w:hAnsi="Helvetica"/>
          <w:bCs/>
          <w:color w:val="FF950E"/>
          <w:sz w:val="26"/>
          <w:szCs w:val="26"/>
          <w:lang w:val="en-GB"/>
        </w:rPr>
        <w:t>i</w:t>
      </w:r>
      <w:r w:rsidR="00576C71" w:rsidRPr="009B720C">
        <w:rPr>
          <w:rFonts w:ascii="Helvetica" w:eastAsia="Cambria" w:hAnsi="Helvetica"/>
          <w:bCs/>
          <w:color w:val="FF950E"/>
          <w:sz w:val="26"/>
          <w:szCs w:val="26"/>
          <w:lang w:val="en-GB"/>
        </w:rPr>
        <w:t>mpacts</w:t>
      </w:r>
    </w:p>
    <w:p w14:paraId="6B5F4DBC" w14:textId="77777777" w:rsidR="004900D7" w:rsidRPr="007D399B" w:rsidRDefault="006F2A2D" w:rsidP="003C2C84">
      <w:pPr>
        <w:rPr>
          <w:rFonts w:ascii="Helvetica" w:eastAsia="Cambria" w:hAnsi="Helvetica"/>
          <w:bCs/>
          <w:color w:val="225D6B"/>
          <w:sz w:val="22"/>
          <w:szCs w:val="28"/>
          <w:lang w:val="en-GB"/>
        </w:rPr>
      </w:pP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The jury appreciates a substantiated description of both</w:t>
      </w:r>
      <w:r w:rsidR="006C034A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impacts and outcomes of a practice</w:t>
      </w: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including supporting numbers if available. Note that outcomes must not necessarily be flawless products or processes, but can also be relevant </w:t>
      </w:r>
      <w:r w:rsidR="0031095B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lessons learned that have the potential to advance future projects.</w:t>
      </w:r>
      <w:r w:rsidR="00C21869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Impacts more broadly refer to influence on</w:t>
      </w:r>
      <w:r w:rsidR="007D399B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areas of good practice (see respective document on our website) or other projects/approaches.</w:t>
      </w:r>
    </w:p>
    <w:p w14:paraId="4236214E" w14:textId="77777777" w:rsidR="00576C71" w:rsidRPr="009B720C" w:rsidRDefault="0031095B" w:rsidP="007D399B">
      <w:pPr>
        <w:pStyle w:val="ListParagraph"/>
        <w:numPr>
          <w:ilvl w:val="0"/>
          <w:numId w:val="4"/>
        </w:numPr>
        <w:spacing w:before="120" w:after="40"/>
        <w:ind w:left="714" w:hanging="357"/>
        <w:rPr>
          <w:rFonts w:ascii="Helvetica" w:eastAsia="Cambria" w:hAnsi="Helvetica"/>
          <w:bCs/>
          <w:color w:val="FF950E"/>
          <w:sz w:val="26"/>
          <w:szCs w:val="26"/>
          <w:lang w:val="en-GB"/>
        </w:rPr>
      </w:pPr>
      <w:r w:rsidRPr="009B720C">
        <w:rPr>
          <w:rFonts w:ascii="Helvetica" w:eastAsia="Cambria" w:hAnsi="Helvetica"/>
          <w:bCs/>
          <w:color w:val="FF950E"/>
          <w:sz w:val="26"/>
          <w:szCs w:val="26"/>
          <w:lang w:val="en-GB"/>
        </w:rPr>
        <w:t>S</w:t>
      </w:r>
      <w:r w:rsidR="00576C71" w:rsidRPr="009B720C">
        <w:rPr>
          <w:rFonts w:ascii="Helvetica" w:eastAsia="Cambria" w:hAnsi="Helvetica"/>
          <w:bCs/>
          <w:color w:val="FF950E"/>
          <w:sz w:val="26"/>
          <w:szCs w:val="26"/>
          <w:lang w:val="en-GB"/>
        </w:rPr>
        <w:t>cope</w:t>
      </w:r>
      <w:r w:rsidR="00E241FD" w:rsidRPr="009B720C">
        <w:rPr>
          <w:rFonts w:ascii="Helvetica" w:eastAsia="Cambria" w:hAnsi="Helvetica"/>
          <w:bCs/>
          <w:color w:val="FF950E"/>
          <w:sz w:val="26"/>
          <w:szCs w:val="26"/>
          <w:lang w:val="en-GB"/>
        </w:rPr>
        <w:t xml:space="preserve"> &amp; </w:t>
      </w:r>
      <w:r w:rsidRPr="009B720C">
        <w:rPr>
          <w:rFonts w:ascii="Helvetica" w:eastAsia="Cambria" w:hAnsi="Helvetica"/>
          <w:bCs/>
          <w:color w:val="FF950E"/>
          <w:sz w:val="26"/>
          <w:szCs w:val="26"/>
          <w:lang w:val="en-GB"/>
        </w:rPr>
        <w:t>transferability</w:t>
      </w:r>
    </w:p>
    <w:p w14:paraId="31A8787D" w14:textId="77777777" w:rsidR="007D399B" w:rsidRPr="009B720C" w:rsidRDefault="00963B1E" w:rsidP="003C2C84">
      <w:pPr>
        <w:rPr>
          <w:rFonts w:ascii="Helvetica" w:eastAsia="Cambria" w:hAnsi="Helvetica"/>
          <w:bCs/>
          <w:color w:val="225D6B"/>
          <w:sz w:val="22"/>
          <w:szCs w:val="28"/>
          <w:lang w:val="en-GB"/>
        </w:rPr>
      </w:pP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This</w:t>
      </w:r>
      <w:r w:rsidR="0031095B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criterion refers to the potential of a practice to be tra</w:t>
      </w:r>
      <w:r w:rsidR="00276E66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nsferred to other settings – meaning its applicability under other circumstances or in different geographical regions. </w:t>
      </w:r>
      <w:r w:rsidR="00033729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It specifically look</w:t>
      </w:r>
      <w:r w:rsidR="00776E9A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s at whether a practice is </w:t>
      </w:r>
      <w:r w:rsidR="00033729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valuable </w:t>
      </w:r>
      <w:r w:rsidR="007D399B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for a long time and </w:t>
      </w:r>
      <w:r w:rsidR="00776E9A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beyond its first scope of implementation. However, practices that solve </w:t>
      </w:r>
      <w:r w:rsidR="00AD3BFB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relevant</w:t>
      </w:r>
      <w:r w:rsidR="00776E9A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local issues may also apply.</w:t>
      </w:r>
    </w:p>
    <w:p w14:paraId="2723345F" w14:textId="77777777" w:rsidR="00576C71" w:rsidRPr="009B720C" w:rsidRDefault="004900D7" w:rsidP="007D399B">
      <w:pPr>
        <w:pStyle w:val="ListParagraph"/>
        <w:numPr>
          <w:ilvl w:val="0"/>
          <w:numId w:val="4"/>
        </w:numPr>
        <w:spacing w:before="120" w:after="40"/>
        <w:ind w:left="714" w:hanging="357"/>
        <w:rPr>
          <w:rFonts w:ascii="Helvetica" w:eastAsia="Cambria" w:hAnsi="Helvetica"/>
          <w:bCs/>
          <w:color w:val="FF950E"/>
          <w:sz w:val="26"/>
          <w:szCs w:val="26"/>
          <w:lang w:val="en-GB"/>
        </w:rPr>
      </w:pPr>
      <w:r w:rsidRPr="009B720C">
        <w:rPr>
          <w:rFonts w:ascii="Helvetica" w:eastAsia="Cambria" w:hAnsi="Helvetica"/>
          <w:bCs/>
          <w:color w:val="FF950E"/>
          <w:sz w:val="26"/>
          <w:szCs w:val="26"/>
          <w:lang w:val="en-GB"/>
        </w:rPr>
        <w:t>Stakeholder outreach</w:t>
      </w:r>
    </w:p>
    <w:p w14:paraId="0C9CD5A4" w14:textId="77777777" w:rsidR="004900D7" w:rsidRPr="007D399B" w:rsidRDefault="00F04A5D" w:rsidP="003C2C84">
      <w:pPr>
        <w:rPr>
          <w:rFonts w:ascii="Helvetica" w:eastAsia="Cambria" w:hAnsi="Helvetica"/>
          <w:bCs/>
          <w:color w:val="225D6B"/>
          <w:sz w:val="22"/>
          <w:szCs w:val="28"/>
          <w:lang w:val="en-GB"/>
        </w:rPr>
      </w:pP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In the context of this competition, a</w:t>
      </w:r>
      <w:r w:rsidR="007B25B7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practice will in most cases be considered even more valuable if</w:t>
      </w:r>
      <w:r w:rsidR="00E031F2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it</w:t>
      </w:r>
      <w:r w:rsidR="007B25B7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</w:t>
      </w:r>
      <w:r w:rsidR="004E3D8D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has been developed by a consortium of organisation</w:t>
      </w: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s</w:t>
      </w:r>
      <w:r w:rsidR="004E3D8D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and/or in cooperation with relevant</w:t>
      </w: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stakeholders, who are satisfied with the end result. In addition, this criterion also looks at whether organisations have reached out to peers and experts or have used other means</w:t>
      </w:r>
      <w:r w:rsidR="00E52AE0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, such as RGI’s b</w:t>
      </w:r>
      <w:r w:rsidR="00506884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est practice database, to get a better sense of what practices </w:t>
      </w:r>
      <w:r w:rsidR="00DE200C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and findings </w:t>
      </w:r>
      <w:r w:rsidR="00506884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are already out there.</w:t>
      </w:r>
      <w:r w:rsidR="009B720C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</w:t>
      </w:r>
    </w:p>
    <w:p w14:paraId="77BC9FBC" w14:textId="77777777" w:rsidR="004900D7" w:rsidRPr="009B720C" w:rsidRDefault="004900D7" w:rsidP="007D399B">
      <w:pPr>
        <w:pStyle w:val="ListParagraph"/>
        <w:numPr>
          <w:ilvl w:val="0"/>
          <w:numId w:val="4"/>
        </w:numPr>
        <w:spacing w:before="120" w:after="40"/>
        <w:ind w:left="714" w:hanging="357"/>
        <w:rPr>
          <w:rFonts w:ascii="Helvetica" w:eastAsia="Cambria" w:hAnsi="Helvetica"/>
          <w:bCs/>
          <w:color w:val="FF950E"/>
          <w:sz w:val="26"/>
          <w:szCs w:val="26"/>
          <w:lang w:val="en-GB"/>
        </w:rPr>
      </w:pPr>
      <w:r w:rsidRPr="009B720C">
        <w:rPr>
          <w:rFonts w:ascii="Helvetica" w:eastAsia="Cambria" w:hAnsi="Helvetica"/>
          <w:bCs/>
          <w:color w:val="FF950E"/>
          <w:sz w:val="26"/>
          <w:szCs w:val="26"/>
          <w:lang w:val="en-GB"/>
        </w:rPr>
        <w:t>Evaluation</w:t>
      </w:r>
    </w:p>
    <w:p w14:paraId="1A48E11E" w14:textId="77777777" w:rsidR="00E52AE0" w:rsidRPr="00BA19CF" w:rsidRDefault="0010372C">
      <w:pPr>
        <w:rPr>
          <w:rFonts w:ascii="Helvetica" w:eastAsia="Cambria" w:hAnsi="Helvetica"/>
          <w:bCs/>
          <w:color w:val="225D6B"/>
          <w:sz w:val="22"/>
          <w:szCs w:val="28"/>
          <w:lang w:val="en-GB"/>
        </w:rPr>
      </w:pP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This final criterion appraises whether </w:t>
      </w:r>
      <w:r w:rsidR="00233B03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the practice</w:t>
      </w: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was</w:t>
      </w:r>
      <w:r w:rsidR="00233B03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critically evaluated during the different stages of its implemen</w:t>
      </w: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tation and after its completion – in order to </w:t>
      </w:r>
      <w:r w:rsidR="00B354D8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improve the practice as well as derive le</w:t>
      </w:r>
      <w:r w:rsidR="00DE200C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ssons</w:t>
      </w:r>
      <w:r w:rsidR="00B354D8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 for future projects</w:t>
      </w:r>
      <w:r>
        <w:rPr>
          <w:rFonts w:ascii="Helvetica" w:eastAsia="Cambria" w:hAnsi="Helvetica"/>
          <w:bCs/>
          <w:color w:val="225D6B"/>
          <w:sz w:val="22"/>
          <w:szCs w:val="28"/>
          <w:lang w:val="en-GB"/>
        </w:rPr>
        <w:t xml:space="preserve">. </w:t>
      </w:r>
      <w:r w:rsidR="009B720C">
        <w:rPr>
          <w:rFonts w:ascii="Helvetica" w:eastAsia="Cambria" w:hAnsi="Helvetica"/>
          <w:bCs/>
          <w:color w:val="225D6B"/>
          <w:sz w:val="22"/>
          <w:szCs w:val="28"/>
          <w:lang w:val="en-GB"/>
        </w:rPr>
        <w:t>It will also be considered if the target group and/or other stakeholders have evaluated the practice positively.</w:t>
      </w:r>
    </w:p>
    <w:sectPr w:rsidR="00E52AE0" w:rsidRPr="00BA19CF" w:rsidSect="003C2C84">
      <w:headerReference w:type="default" r:id="rId8"/>
      <w:footerReference w:type="default" r:id="rId9"/>
      <w:pgSz w:w="11906" w:h="16838"/>
      <w:pgMar w:top="1440" w:right="1440" w:bottom="1440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9C40F" w14:textId="77777777" w:rsidR="00F80FAD" w:rsidRDefault="00F80FAD">
      <w:r>
        <w:separator/>
      </w:r>
    </w:p>
  </w:endnote>
  <w:endnote w:type="continuationSeparator" w:id="0">
    <w:p w14:paraId="7F53472B" w14:textId="77777777" w:rsidR="00F80FAD" w:rsidRDefault="00F8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EF32C9" w14:textId="77777777" w:rsidR="009B720C" w:rsidRDefault="009B72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1A9D" w14:textId="77777777" w:rsidR="00F80FAD" w:rsidRDefault="00F80FAD">
      <w:r>
        <w:separator/>
      </w:r>
    </w:p>
  </w:footnote>
  <w:footnote w:type="continuationSeparator" w:id="0">
    <w:p w14:paraId="0265253C" w14:textId="77777777" w:rsidR="00F80FAD" w:rsidRDefault="00F80F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1F30E0" w14:textId="77777777" w:rsidR="009B720C" w:rsidRPr="005C778A" w:rsidRDefault="00F80FAD">
    <w:pPr>
      <w:pStyle w:val="Footer"/>
      <w:rPr>
        <w:rFonts w:ascii="Helvetica" w:hAnsi="Helvetica"/>
        <w:color w:val="FF950E"/>
        <w:lang w:val="en-US"/>
      </w:rPr>
    </w:pPr>
    <w:r>
      <w:rPr>
        <w:rFonts w:ascii="Helvetica" w:hAnsi="Helvetica"/>
      </w:rPr>
      <w:pict w14:anchorId="61AA9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" type="#_x0000_t75" style="position:absolute;margin-left:268.45pt;margin-top:-8.95pt;width:176pt;height:44.95pt;z-index:251659264;mso-wrap-distance-left:0;mso-wrap-distance-right:0" filled="t">
          <v:fill color2="black"/>
          <v:imagedata r:id="rId1" o:title=""/>
          <v:textbox inset="0,0,0,0"/>
          <w10:wrap type="topAndBottom"/>
        </v:shape>
      </w:pict>
    </w:r>
    <w:r w:rsidR="009B720C" w:rsidRPr="005C778A">
      <w:rPr>
        <w:rFonts w:ascii="Helvetica" w:hAnsi="Helvetica"/>
        <w:color w:val="FF950E"/>
        <w:lang w:val="en-US"/>
      </w:rPr>
      <w:t>Good Practice of the Year:</w:t>
    </w:r>
  </w:p>
  <w:p w14:paraId="55A2E3C1" w14:textId="77777777" w:rsidR="009B720C" w:rsidRPr="005C778A" w:rsidRDefault="009B720C">
    <w:pPr>
      <w:pStyle w:val="Header"/>
      <w:rPr>
        <w:rFonts w:ascii="Helvetica" w:hAnsi="Helvetica"/>
        <w:color w:val="FF950E"/>
        <w:lang w:val="en-US"/>
      </w:rPr>
    </w:pPr>
    <w:r w:rsidRPr="005C778A">
      <w:rPr>
        <w:rFonts w:ascii="Helvetica" w:hAnsi="Helvetica"/>
        <w:color w:val="FF950E"/>
        <w:lang w:val="en-US"/>
      </w:rPr>
      <w:t>Submission Form</w:t>
    </w:r>
    <w:r>
      <w:rPr>
        <w:rFonts w:ascii="Helvetica" w:hAnsi="Helvetica"/>
        <w:color w:val="FF950E"/>
        <w:lang w:val="en-US"/>
      </w:rPr>
      <w:t xml:space="preserve"> 2018</w:t>
    </w:r>
  </w:p>
  <w:p w14:paraId="65084FE8" w14:textId="77777777" w:rsidR="009B720C" w:rsidRDefault="009B72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35pt;height:15.35pt" o:bullet="t">
        <v:imagedata r:id="rId1" o:title="Word Work File L_1"/>
      </v:shape>
    </w:pict>
  </w:numPicBullet>
  <w:abstractNum w:abstractNumId="0">
    <w:nsid w:val="08E85C8E"/>
    <w:multiLevelType w:val="hybridMultilevel"/>
    <w:tmpl w:val="E4900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5404"/>
    <w:multiLevelType w:val="hybridMultilevel"/>
    <w:tmpl w:val="A56E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41E40"/>
    <w:multiLevelType w:val="hybridMultilevel"/>
    <w:tmpl w:val="9BFCA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37A2A"/>
    <w:multiLevelType w:val="hybridMultilevel"/>
    <w:tmpl w:val="ED404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A6718"/>
    <w:multiLevelType w:val="hybridMultilevel"/>
    <w:tmpl w:val="8AEE74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84"/>
    <w:rsid w:val="00024FE9"/>
    <w:rsid w:val="00026BD8"/>
    <w:rsid w:val="00033729"/>
    <w:rsid w:val="0010372C"/>
    <w:rsid w:val="00233B03"/>
    <w:rsid w:val="00276E66"/>
    <w:rsid w:val="00277239"/>
    <w:rsid w:val="00280209"/>
    <w:rsid w:val="002A2AB0"/>
    <w:rsid w:val="0031095B"/>
    <w:rsid w:val="003131AC"/>
    <w:rsid w:val="00374270"/>
    <w:rsid w:val="003826FD"/>
    <w:rsid w:val="0039335B"/>
    <w:rsid w:val="003C2C84"/>
    <w:rsid w:val="004900D7"/>
    <w:rsid w:val="004E3D8D"/>
    <w:rsid w:val="00506884"/>
    <w:rsid w:val="0056790E"/>
    <w:rsid w:val="00575D15"/>
    <w:rsid w:val="00576C71"/>
    <w:rsid w:val="00652D97"/>
    <w:rsid w:val="0065416F"/>
    <w:rsid w:val="006A24EB"/>
    <w:rsid w:val="006B2D1F"/>
    <w:rsid w:val="006C034A"/>
    <w:rsid w:val="006F2A2D"/>
    <w:rsid w:val="00776E9A"/>
    <w:rsid w:val="007B25B7"/>
    <w:rsid w:val="007D399B"/>
    <w:rsid w:val="007D6729"/>
    <w:rsid w:val="007E4CB8"/>
    <w:rsid w:val="00875F00"/>
    <w:rsid w:val="009525CF"/>
    <w:rsid w:val="00963B1E"/>
    <w:rsid w:val="009B720C"/>
    <w:rsid w:val="009B76E9"/>
    <w:rsid w:val="00A03A1A"/>
    <w:rsid w:val="00A433DB"/>
    <w:rsid w:val="00AA6923"/>
    <w:rsid w:val="00AD3BFB"/>
    <w:rsid w:val="00AD73CB"/>
    <w:rsid w:val="00B06EAC"/>
    <w:rsid w:val="00B354D8"/>
    <w:rsid w:val="00BA19CF"/>
    <w:rsid w:val="00BD452C"/>
    <w:rsid w:val="00C21869"/>
    <w:rsid w:val="00CB23F6"/>
    <w:rsid w:val="00CE16F8"/>
    <w:rsid w:val="00D932DA"/>
    <w:rsid w:val="00DE200C"/>
    <w:rsid w:val="00E031F2"/>
    <w:rsid w:val="00E04B2A"/>
    <w:rsid w:val="00E241FD"/>
    <w:rsid w:val="00E27535"/>
    <w:rsid w:val="00E442D3"/>
    <w:rsid w:val="00E52AE0"/>
    <w:rsid w:val="00EA6876"/>
    <w:rsid w:val="00F049F6"/>
    <w:rsid w:val="00F04A5D"/>
    <w:rsid w:val="00F8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6AF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2C84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2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C8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C2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2C8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4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newables-grid.eu/fileadmin/user_upload/Files_RGI/RGI_Publications/Good_Practice_of_the_Year_Areas_of_good_practice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Macintosh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Bätjer</dc:creator>
  <cp:keywords/>
  <dc:description/>
  <cp:lastModifiedBy>Urszula Papajak</cp:lastModifiedBy>
  <cp:revision>2</cp:revision>
  <dcterms:created xsi:type="dcterms:W3CDTF">2017-10-05T12:11:00Z</dcterms:created>
  <dcterms:modified xsi:type="dcterms:W3CDTF">2017-10-05T12:11:00Z</dcterms:modified>
</cp:coreProperties>
</file>